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w:conformance="transitional" mc:Ignorable="vyd">
  <w:background/>
  <w:body vyd:_id="vyd:00000000000001">
    <w:p w14:paraId="3DDDB6B9" w14:textId="7AE90495" w:rsidR="00830F31" w:rsidRPr="00E62142" w:rsidRDefault="00830F31" w:rsidP="00830F31" vyd:_id="vyd:0000000000002c">
      <w:pPr>
        <w:rPr>
          <w:sz w:val="32"/>
          <w:color w:val="212529"/>
          <w:b w:val="1"/>
          <w:shd w:val="clear" w:color="auto" w:fill="FFFFFF"/>
        </w:rPr>
      </w:pPr>
      <w:r>
        <w:rPr>
          <w:sz w:val="32"/>
          <w:color w:val="212529"/>
          <w:b w:val="1"/>
          <w:shd w:val="clear" w:color="auto" w:fill="FFFFFF"/>
          <w:lang w:val="en-US"/>
          <w:bCs w:val="1"/>
          <w:szCs w:val="32"/>
        </w:rPr>
        <w:t vyd:_id="vyd:0000000000002f">nanoCAD</w:t>
      </w:r>
      <w:r>
        <w:rPr>
          <w:sz w:val="32"/>
          <w:color w:val="212529"/>
          <w:b w:val="1"/>
          <w:shd w:val="clear" w:color="auto" w:fill="FFFFFF"/>
          <w:bCs w:val="1"/>
          <w:szCs w:val="32"/>
        </w:rPr>
        <w:t vyd:_id="vyd:0000000000002e" xml:space="preserve"> комплект </w:t>
      </w:r>
      <w:r>
        <w:rPr>
          <w:sz w:val="32"/>
          <w:color w:val="212529"/>
          <w:b w:val="1"/>
          <w:shd w:val="clear" w:color="auto" w:fill="FFFFFF"/>
          <w:bCs w:val="1"/>
          <w:szCs w:val="32"/>
        </w:rPr>
        <w:t vyd:_id="vyd:0000000000002d">Землеустройство</w:t>
      </w:r>
    </w:p>
    <w:p w14:paraId="520484FF" w14:textId="77777777" w:rsidR="00830F31" w:rsidRPr="00830F31" w:rsidRDefault="00830F31" w:rsidP="00830F31" vyd:_id="vyd:0000000000002a">
      <w:pP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</w:pPr>
      <w: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  <w:t vyd:_id="vyd:0000000000002b">Описание продукта</w:t>
      </w:r>
    </w:p>
    <w:p w14:paraId="1F44D6C4" w14:textId="77777777" w:rsidR="00FB5A6B" w:rsidRDefault="00FB5A6B" w:rsidP="00830F31" vyd:_id="vyd:00000000000028">
      <w:pPr>
        <w:rPr>
          <w:sz w:val="24"/>
          <w:szCs w:val="24"/>
        </w:rPr>
      </w:pPr>
      <w:r>
        <w:rPr>
          <w:sz w:val="24"/>
          <w:szCs w:val="24"/>
        </w:rPr>
        <w:t vyd:_id="vyd:00000000000029">Комплект специализированных решений на Платформе nanoCAD для автоматизации проектно-изыскательских работ: создания цифровых моделей рельефа, оформления топографических планов, проектирования инженерных коммуникаций и линейно-протяженных объектов</w:t>
      </w:r>
    </w:p>
    <w:p w14:paraId="126F0587" w14:textId="4E57F452" w:rsidR="00830F31" w:rsidRPr="00564E45" w:rsidRDefault="00830F31" w:rsidP="00830F31" vyd:_id="vyd:00000000000026">
      <w:pP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</w:pPr>
      <w: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  <w:t vyd:_id="vyd:00000000000027">Задачи</w:t>
      </w:r>
    </w:p>
    <w:p w14:paraId="44F4FBC9" w14:textId="77777777" w:rsidR="00FB5A6B" w:rsidRPr="00FB5A6B" w:rsidRDefault="00FB5A6B" w:rsidP="00FB5A6B" vyd:_id="vyd:00000000000024">
      <w:pPr>
        <w:pStyle w:val="a3"/>
        <w:numPr>
          <w:ilvl w:val="0"/>
          <w:numId w:val="3"/>
        </w:numPr>
        <w:rPr>
          <w:rFonts w:eastAsia="Commissioner" w:cstheme="minorHAnsi"/>
          <w:sz w:val="24"/>
          <w:color w:val="101214"/>
          <w:shd w:val="clear" w:color="auto" w:fill="FFFFFF"/>
          <w:szCs w:val="20"/>
        </w:rPr>
      </w:pPr>
      <w:r>
        <w:rPr>
          <w:rFonts w:eastAsia="Commissioner" w:cstheme="minorHAnsi"/>
          <w:sz w:val="24"/>
          <w:color w:val="101214"/>
          <w:shd w:val="clear" w:color="auto" w:fill="FFFFFF"/>
          <w:szCs w:val="20"/>
        </w:rPr>
        <w:t vyd:_id="vyd:00000000000025">Совместная работа изыскателей и проектировщиков в рамках единой базы проекта</w:t>
      </w:r>
    </w:p>
    <w:p w14:paraId="1F286CC8" w14:textId="77777777" w:rsidR="00FB5A6B" w:rsidRPr="00FB5A6B" w:rsidRDefault="00FB5A6B" w:rsidP="00FB5A6B" vyd:_id="vyd:00000000000022">
      <w:pPr>
        <w:pStyle w:val="a3"/>
        <w:numPr>
          <w:ilvl w:val="0"/>
          <w:numId w:val="3"/>
        </w:numPr>
        <w:rPr>
          <w:rFonts w:eastAsia="Commissioner" w:cstheme="minorHAnsi"/>
          <w:sz w:val="24"/>
          <w:color w:val="101214"/>
          <w:shd w:val="clear" w:color="auto" w:fill="FFFFFF"/>
          <w:szCs w:val="20"/>
        </w:rPr>
      </w:pPr>
      <w:r>
        <w:rPr>
          <w:rFonts w:eastAsia="Commissioner" w:cstheme="minorHAnsi"/>
          <w:sz w:val="24"/>
          <w:color w:val="101214"/>
          <w:shd w:val="clear" w:color="auto" w:fill="FFFFFF"/>
          <w:szCs w:val="20"/>
        </w:rPr>
        <w:t vyd:_id="vyd:00000000000023">Создание, редактирование и анализ цифровых моделей рельефа (ЦМР) по данным из различных источников</w:t>
      </w:r>
    </w:p>
    <w:p w14:paraId="32034CFB" w14:textId="77777777" w:rsidR="00FB5A6B" w:rsidRPr="00FB5A6B" w:rsidRDefault="00FB5A6B" w:rsidP="00FB5A6B" vyd:_id="vyd:00000000000020">
      <w:pPr>
        <w:pStyle w:val="a3"/>
        <w:numPr>
          <w:ilvl w:val="0"/>
          <w:numId w:val="3"/>
        </w:numPr>
        <w:rPr>
          <w:rFonts w:eastAsia="Commissioner" w:cstheme="minorHAnsi"/>
          <w:sz w:val="24"/>
          <w:color w:val="101214"/>
          <w:shd w:val="clear" w:color="auto" w:fill="FFFFFF"/>
          <w:szCs w:val="20"/>
        </w:rPr>
      </w:pPr>
      <w:r>
        <w:rPr>
          <w:rFonts w:eastAsia="Commissioner" w:cstheme="minorHAnsi"/>
          <w:sz w:val="24"/>
          <w:color w:val="101214"/>
          <w:shd w:val="clear" w:color="auto" w:fill="FFFFFF"/>
          <w:szCs w:val="20"/>
        </w:rPr>
        <w:t vyd:_id="vyd:00000000000021">Создание и оформление топографических планов в соответствии с российскими нормативными документами</w:t>
      </w:r>
    </w:p>
    <w:p w14:paraId="609A6C0B" w14:textId="77777777" w:rsidR="00FB5A6B" w:rsidRPr="00FB5A6B" w:rsidRDefault="00FB5A6B" w:rsidP="00FB5A6B" vyd:_id="vyd:0000000000001y">
      <w:pPr>
        <w:pStyle w:val="a3"/>
        <w:numPr>
          <w:ilvl w:val="0"/>
          <w:numId w:val="3"/>
        </w:numPr>
        <w:rPr>
          <w:rFonts w:eastAsia="Commissioner" w:cstheme="minorHAnsi"/>
          <w:sz w:val="24"/>
          <w:color w:val="101214"/>
          <w:shd w:val="clear" w:color="auto" w:fill="FFFFFF"/>
          <w:szCs w:val="20"/>
        </w:rPr>
      </w:pPr>
      <w:r>
        <w:rPr>
          <w:rFonts w:eastAsia="Commissioner" w:cstheme="minorHAnsi"/>
          <w:sz w:val="24"/>
          <w:color w:val="101214"/>
          <w:shd w:val="clear" w:color="auto" w:fill="FFFFFF"/>
          <w:szCs w:val="20"/>
        </w:rPr>
        <w:t vyd:_id="vyd:0000000000001z">Подготовка и создание генпланов объектов промышленного и гражданского строительства (ПГС)</w:t>
      </w:r>
    </w:p>
    <w:p w14:paraId="04F5560A" w14:textId="77777777" w:rsidR="00FB5A6B" w:rsidRPr="00FB5A6B" w:rsidRDefault="00FB5A6B" w:rsidP="00FB5A6B" vyd:_id="vyd:0000000000001w">
      <w:pPr>
        <w:pStyle w:val="a3"/>
        <w:numPr>
          <w:ilvl w:val="0"/>
          <w:numId w:val="3"/>
        </w:numPr>
        <w:rPr>
          <w:rFonts w:eastAsia="Commissioner" w:cstheme="minorHAnsi"/>
          <w:sz w:val="24"/>
          <w:color w:val="101214"/>
          <w:shd w:val="clear" w:color="auto" w:fill="FFFFFF"/>
          <w:szCs w:val="20"/>
        </w:rPr>
      </w:pPr>
      <w:r>
        <w:rPr>
          <w:rFonts w:eastAsia="Commissioner" w:cstheme="minorHAnsi"/>
          <w:sz w:val="24"/>
          <w:color w:val="101214"/>
          <w:shd w:val="clear" w:color="auto" w:fill="FFFFFF"/>
          <w:szCs w:val="20"/>
        </w:rPr>
        <w:t vyd:_id="vyd:0000000000001x">Выполнение расчетов, связанных с объемами земляных масс и вертикальной планировкой территории</w:t>
      </w:r>
    </w:p>
    <w:p w14:paraId="39E4511A" w14:textId="77777777" w:rsidR="00FB5A6B" w:rsidRPr="00FB5A6B" w:rsidRDefault="00FB5A6B" w:rsidP="00FB5A6B" vyd:_id="vyd:0000000000001u">
      <w:pPr>
        <w:pStyle w:val="a3"/>
        <w:numPr>
          <w:ilvl w:val="0"/>
          <w:numId w:val="3"/>
        </w:numPr>
        <w:rPr>
          <w:rFonts w:eastAsia="Commissioner" w:cstheme="minorHAnsi"/>
          <w:sz w:val="24"/>
          <w:color w:val="101214"/>
          <w:shd w:val="clear" w:color="auto" w:fill="FFFFFF"/>
          <w:szCs w:val="20"/>
        </w:rPr>
      </w:pPr>
      <w:r>
        <w:rPr>
          <w:rFonts w:eastAsia="Commissioner" w:cstheme="minorHAnsi"/>
          <w:sz w:val="24"/>
          <w:color w:val="101214"/>
          <w:shd w:val="clear" w:color="auto" w:fill="FFFFFF"/>
          <w:szCs w:val="20"/>
        </w:rPr>
        <w:t vyd:_id="vyd:0000000000001v">Проектирование внешних инженерных коммуникаций: подземных и наземных сетей, трубопроводов</w:t>
      </w:r>
    </w:p>
    <w:p w14:paraId="60C2B0BD" w14:textId="77777777" w:rsidR="00FB5A6B" w:rsidRPr="00FB5A6B" w:rsidRDefault="00FB5A6B" w:rsidP="00FB5A6B" vyd:_id="vyd:0000000000001s">
      <w:pPr>
        <w:pStyle w:val="a3"/>
        <w:numPr>
          <w:ilvl w:val="0"/>
          <w:numId w:val="3"/>
        </w:numPr>
        <w:rPr>
          <w:rFonts w:eastAsia="Commissioner" w:cstheme="minorHAnsi"/>
          <w:sz w:val="24"/>
          <w:color w:val="101214"/>
          <w:shd w:val="clear" w:color="auto" w:fill="FFFFFF"/>
          <w:szCs w:val="20"/>
        </w:rPr>
      </w:pPr>
      <w:r>
        <w:rPr>
          <w:rFonts w:eastAsia="Commissioner" w:cstheme="minorHAnsi"/>
          <w:sz w:val="24"/>
          <w:color w:val="101214"/>
          <w:shd w:val="clear" w:color="auto" w:fill="FFFFFF"/>
          <w:szCs w:val="20"/>
        </w:rPr>
        <w:t vyd:_id="vyd:0000000000001t">Проектирование линейно-протяженных объектов: дорог, трасс, инфраструктуры – с планом, профилем и поперечными сечениями</w:t>
      </w:r>
    </w:p>
    <w:p w14:paraId="1F1AB61E" w14:textId="77777777" w:rsidR="00FB5A6B" w:rsidRPr="00FB5A6B" w:rsidRDefault="00FB5A6B" w:rsidP="00FB5A6B" vyd:_id="vyd:0000000000001q">
      <w:pPr>
        <w:pStyle w:val="a3"/>
        <w:numPr>
          <w:ilvl w:val="0"/>
          <w:numId w:val="3"/>
        </w:numPr>
        <w:rPr>
          <w:rFonts w:eastAsia="Commissioner" w:cstheme="minorHAnsi"/>
          <w:sz w:val="24"/>
          <w:color w:val="101214"/>
          <w:shd w:val="clear" w:color="auto" w:fill="FFFFFF"/>
          <w:szCs w:val="20"/>
        </w:rPr>
      </w:pPr>
      <w:r>
        <w:rPr>
          <w:rFonts w:eastAsia="Commissioner" w:cstheme="minorHAnsi"/>
          <w:sz w:val="24"/>
          <w:color w:val="101214"/>
          <w:shd w:val="clear" w:color="auto" w:fill="FFFFFF"/>
          <w:szCs w:val="20"/>
        </w:rPr>
        <w:t vyd:_id="vyd:0000000000001r">Оформление инженерно-геологических разрезов, колонок и сопровождающей документации</w:t>
      </w:r>
    </w:p>
    <w:p w14:paraId="6C9BBEDB" w14:textId="77777777" w:rsidR="00FB5A6B" w:rsidRPr="00FB5A6B" w:rsidRDefault="00FB5A6B" w:rsidP="00FB5A6B" vyd:_id="vyd:0000000000001o">
      <w:pPr>
        <w:pStyle w:val="a3"/>
        <w:numPr>
          <w:ilvl w:val="0"/>
          <w:numId w:val="3"/>
        </w:numPr>
        <w:rPr>
          <w:rFonts w:eastAsia="Commissioner" w:cstheme="minorHAnsi"/>
          <w:sz w:val="24"/>
          <w:color w:val="101214"/>
          <w:shd w:val="clear" w:color="auto" w:fill="FFFFFF"/>
          <w:szCs w:val="20"/>
        </w:rPr>
      </w:pPr>
      <w:r>
        <w:rPr>
          <w:rFonts w:eastAsia="Commissioner" w:cstheme="minorHAnsi"/>
          <w:sz w:val="24"/>
          <w:color w:val="101214"/>
          <w:shd w:val="clear" w:color="auto" w:fill="FFFFFF"/>
          <w:szCs w:val="20"/>
        </w:rPr>
        <w:t vyd:_id="vyd:0000000000001p">Формирование выходных данных информационной модели поверхности и коммуникаций</w:t>
      </w:r>
    </w:p>
    <w:p w14:paraId="50067EEC" w14:textId="0479917B" w:rsidR="00830F31" w:rsidRDefault="00830F31" w:rsidP="00830F31" vyd:_id="vyd:0000000000001n">
      <w:pPr>
        <w:rPr>
          <w:rFonts w:cstheme="minorHAnsi"/>
          <w:sz w:val="28"/>
          <w:color w:val="212529"/>
          <w:b w:val="1"/>
          <w:shd w:val="clear" w:color="auto" w:fill="FFFFFF"/>
        </w:rPr>
      </w:pPr>
    </w:p>
    <w:p w14:paraId="72D21A52" w14:textId="77777777" w:rsidR="00830F31" w:rsidRDefault="00830F31" w:rsidP="00830F31" vyd:_id="vyd:0000000000001l">
      <w:pP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</w:pPr>
      <w: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  <w:t vyd:_id="vyd:0000000000001m">Преимущества</w:t>
      </w:r>
    </w:p>
    <w:p w14:paraId="2CE76401" w14:textId="14C50CBE" w:rsidR="00830F31" w:rsidRPr="00830F31" w:rsidRDefault="00830F31" w:rsidP="00830F31" vyd:_id="vyd:00000000000019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  <w:b w:val="1"/>
          <w:bCs w:val="1"/>
          <w:szCs w:val="24"/>
        </w:rPr>
        <w:t vyd:_id="vyd:0000000000001k" xml:space="preserve">Экономия до </w:t>
      </w:r>
      <w:r>
        <w:rPr>
          <w:sz w:val="24"/>
          <w:b w:val="1"/>
          <w:bCs w:val="1"/>
          <w:szCs w:val="24"/>
        </w:rPr>
        <w:t vyd:_id="vyd:0000000000001j">45</w:t>
      </w:r>
      <w:r>
        <w:rPr>
          <w:sz w:val="24"/>
          <w:b w:val="1"/>
          <w:bCs w:val="1"/>
          <w:szCs w:val="24"/>
        </w:rPr>
        <w:t vyd:_id="vyd:0000000000001i">% на лицензиях</w:t>
      </w:r>
      <w:r>
        <w:rPr>
          <w:rFonts w:eastAsia="Calibri" w:cstheme="minorHAnsi"/>
          <w:sz w:val="24"/>
          <w:b w:val="1"/>
          <w:bCs w:val="1"/>
          <w:szCs w:val="24"/>
        </w:rPr>
        <w:br vyd:_id="vyd:0000000000001h"/>
      </w:r>
      <w:r>
        <w:rPr>
          <w:sz w:val="24"/>
          <w:szCs w:val="24"/>
        </w:rPr>
        <w:t vyd:_id="vyd:0000000000001g" xml:space="preserve">Стоимость </w:t>
      </w:r>
      <w:r>
        <w:rPr>
          <w:sz w:val="24"/>
          <w:lang w:val="en-US"/>
          <w:szCs w:val="24"/>
        </w:rPr>
        <w:t vyd:_id="vyd:0000000000001f">nanoCAD</w:t>
      </w:r>
      <w:r>
        <w:rPr>
          <w:sz w:val="24"/>
          <w:szCs w:val="24"/>
        </w:rPr>
        <w:t vyd:_id="vyd:0000000000001e" xml:space="preserve"> </w:t>
      </w:r>
      <w:r>
        <w:rPr>
          <w:sz w:val="24"/>
          <w:szCs w:val="24"/>
        </w:rPr>
        <w:t vyd:_id="vyd:0000000000001d" xml:space="preserve">комплект </w:t>
      </w:r>
      <w:r>
        <w:rPr>
          <w:sz w:val="24"/>
          <w:szCs w:val="24"/>
        </w:rPr>
        <w:t vyd:_id="vyd:0000000000001c">Землеустройство</w:t>
      </w:r>
      <w:r>
        <w:rPr>
          <w:sz w:val="24"/>
          <w:szCs w:val="24"/>
        </w:rPr>
        <w:t vyd:_id="vyd:0000000000001b" xml:space="preserve"> </w:t>
      </w:r>
      <w:r>
        <w:rPr>
          <w:sz w:val="24"/>
          <w:szCs w:val="24"/>
        </w:rPr>
        <w:t vyd:_id="vyd:0000000000001a">значительно ниже, чем при покупке каждого продукта по отдельности</w:t>
      </w:r>
    </w:p>
    <w:p w14:paraId="0515CE1F" w14:textId="794353FE" w:rsidR="00E62142" w:rsidRPr="00E62142" w:rsidRDefault="00FB5A6B" w:rsidP="00830F31" vyd:_id="vyd:0000000000001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  <w:b w:val="1"/>
          <w:bCs w:val="1"/>
          <w:szCs w:val="24"/>
        </w:rPr>
        <w:t vyd:_id="vyd:00000000000018">Оформление по российским стандартам</w:t>
      </w:r>
      <w:r>
        <w:rPr>
          <w:sz w:val="24"/>
          <w:b w:val="1"/>
          <w:bCs w:val="1"/>
          <w:szCs w:val="24"/>
        </w:rPr>
        <w:br vyd:_id="vyd:00000000000017"/>
      </w:r>
      <w:r>
        <w:rPr>
          <w:sz w:val="24"/>
          <w:szCs w:val="24"/>
        </w:rPr>
        <w:t vyd:_id="vyd:00000000000015">Инструменты нормативного оформления проектной документации: ГОСТ 21.508-93, ГОСТ Р 21.101-2020, требования российских регуляторов</w:t>
      </w:r>
    </w:p>
    <w:p w14:paraId="5B24F644" w14:textId="59CB1E5C" w:rsidR="00830F31" w:rsidRPr="00E62142" w:rsidRDefault="00FB5A6B" w:rsidP="00830F31" vyd:_id="vyd:00000000000010">
      <w:pPr>
        <w:pStyle w:val="a3"/>
        <w:numPr>
          <w:ilvl w:val="0"/>
          <w:numId w:val="1"/>
        </w:numPr>
        <w:rPr>
          <w:sz w:val="24"/>
        </w:rPr>
      </w:pPr>
      <w:r>
        <w:rPr>
          <w:rFonts w:eastAsia="Times New Roman" w:cstheme="minorHAnsi"/>
          <w:sz w:val="24"/>
          <w:b w:val="1"/>
        </w:rPr>
        <w:t vyd:_id="vyd:00000000000013">Открытые базы данных</w:t>
      </w:r>
      <w:r>
        <w:rPr>
          <w:rFonts w:eastAsia="Times New Roman" w:cstheme="minorHAnsi"/>
          <w:sz w:val="24"/>
          <w:b w:val="1"/>
        </w:rPr>
        <w:br vyd:_id="vyd:00000000000012"/>
      </w:r>
      <w:r>
        <w:rPr>
          <w:sz w:val="24"/>
          <w:szCs w:val="24"/>
        </w:rPr>
        <w:t vyd:_id="vyd:00000000000011">Встроенные библиотеки условных топографических знаков, зеленых насаждений, малых архитектурных форм и инженерных коммуникаций, открытые для редактирования</w:t>
      </w:r>
    </w:p>
    <w:p w14:paraId="423D9285" w14:textId="77777777" w:rsidR="00830F31" w:rsidRPr="00830F31" w:rsidRDefault="00830F31" w:rsidP="00830F31" vyd:_id="vyd:0000000000000z">
      <w:pPr>
        <w:pStyle w:val="a3"/>
        <w:ind w:start="0"/>
        <w:rPr>
          <w:rFonts w:cstheme="minorHAnsi"/>
          <w:sz w:val="28"/>
          <w:color w:val="212529"/>
          <w:b w:val="1"/>
          <w:shd w:val="clear" w:color="auto" w:fill="FFFFFF"/>
        </w:rPr>
      </w:pPr>
    </w:p>
    <w:p w14:paraId="4F2ACD36" w14:textId="77777777" w:rsidR="00830F31" w:rsidRPr="00830F31" w:rsidRDefault="00830F31" w:rsidP="00830F31" vyd:_id="vyd:0000000000000x">
      <w:pPr>
        <w:pStyle w:val="a3"/>
        <w:ind w:start="0"/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</w:pPr>
      <w: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  <w:t vyd:_id="vyd:0000000000000y">Ключевые возможности</w:t>
      </w:r>
    </w:p>
    <w:p w14:paraId="06D04AFB" w14:textId="77777777" w:rsidR="00FB5A6B" w:rsidRDefault="00FB5A6B" w:rsidP="00830F31" vyd:_id="vyd:0000000000000v">
      <w:pPr>
        <w:spacing w:after="0" w:line="240" w:lineRule="auto"/>
        <w:rPr>
          <w:rFonts w:cstheme="minorHAnsi"/>
          <w:sz w:val="24"/>
          <w:color w:val="212529"/>
          <w:b w:val="1"/>
          <w:shd w:val="clear" w:color="auto" w:fill="FFFFFF"/>
        </w:rPr>
      </w:pPr>
      <w:r>
        <w:rPr>
          <w:rFonts w:cstheme="minorHAnsi"/>
          <w:sz w:val="24"/>
          <w:color w:val="212529"/>
          <w:b w:val="1"/>
          <w:shd w:val="clear" w:color="auto" w:fill="FFFFFF"/>
        </w:rPr>
        <w:t vyd:_id="vyd:0000000000000w">Единое информационное пространство проекта</w:t>
      </w:r>
    </w:p>
    <w:p w14:paraId="587B024E" w14:textId="77777777" w:rsidR="00FB5A6B" w:rsidRDefault="00FB5A6B" w:rsidP="00830F31" vyd:_id="vyd:0000000000000s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vyd:_id="vyd:0000000000000u" xml:space="preserve">Специализированный Менеджер проектов nanoCAD GeoniCS аккумулирует в одной точке все чертежи, объекты, расчеты и данные. Изыскатели и проектировщики работают в </w:t>
      </w:r>
      <w:r>
        <w:rPr>
          <w:sz w:val="24"/>
          <w:szCs w:val="24"/>
        </w:rPr>
        <w:t vyd:_id="vyd:0000000000000t">рамках единой согласованной базы, исключая ошибки рассогласования данных между смежниками</w:t>
      </w:r>
    </w:p>
    <w:p w14:paraId="49CEDAB1" w14:textId="5F73D9E6" w:rsidR="00830F31" w:rsidRDefault="00830F31" w:rsidP="00830F31" vyd:_id="vyd:0000000000000n">
      <w:pPr>
        <w:spacing w:after="0" w:line="240" w:lineRule="auto"/>
        <w:rPr>
          <w:sz w:val="24"/>
          <w:szCs w:val="24"/>
        </w:rPr>
      </w:pPr>
      <w:r>
        <w:rPr>
          <w:sz w:val="24"/>
          <w:b w:val="1"/>
        </w:rPr>
        <w:br vyd:_id="vyd:0000000000000r"/>
      </w:r>
      <w:r>
        <w:rPr>
          <w:sz w:val="24"/>
          <w:b w:val="1"/>
          <w:bCs w:val="1"/>
          <w:szCs w:val="24"/>
        </w:rPr>
        <w:t vyd:_id="vyd:0000000000000q">Согласованность чертежей и вычислений</w:t>
      </w:r>
      <w:r>
        <w:rPr>
          <w:sz w:val="24"/>
          <w:b w:val="1"/>
        </w:rPr>
        <w:br vyd:_id="vyd:0000000000000p"/>
      </w:r>
      <w:r>
        <w:rPr>
          <w:sz w:val="24"/>
          <w:szCs w:val="24"/>
        </w:rPr>
        <w:t vyd:_id="vyd:0000000000000o">Модели рельефа, трассы, профили и сети образуют единый связанный объект. При изменении геометрии все связанные ведомости, расчеты объемов земляных масс и расчетные таблицы автоматически обновляются в реальном времени</w:t>
      </w:r>
    </w:p>
    <w:p w14:paraId="501387E0" w14:textId="1C2E7A3B" w:rsidR="00830F31" w:rsidRDefault="00830F31" w:rsidP="00830F31" vyd:_id="vyd:0000000000000i">
      <w:pPr>
        <w:spacing w:after="0" w:line="240" w:lineRule="auto"/>
        <w:rPr>
          <w:sz w:val="24"/>
          <w:szCs w:val="24"/>
        </w:rPr>
      </w:pPr>
      <w:r>
        <w:rPr>
          <w:sz w:val="24"/>
          <w:b w:val="1"/>
        </w:rPr>
        <w:br vyd:_id="vyd:0000000000000m"/>
      </w:r>
      <w:r>
        <w:rPr>
          <w:sz w:val="24"/>
          <w:b w:val="1"/>
          <w:bCs w:val="1"/>
          <w:szCs w:val="24"/>
        </w:rPr>
        <w:t vyd:_id="vyd:0000000000000l">Автоматическое формирование проектной документации</w:t>
      </w:r>
      <w:r>
        <w:rPr>
          <w:sz w:val="24"/>
          <w:b w:val="1"/>
        </w:rPr>
        <w:br vyd:_id="vyd:0000000000000k"/>
      </w:r>
      <w:r>
        <w:rPr>
          <w:sz w:val="24"/>
          <w:szCs w:val="24"/>
        </w:rPr>
        <w:t vyd:_id="vyd:0000000000000j">Программный комплекс автоматически формирует широкий спектр выходных документов: топографические планы, разбивочные чертежи, ведомости объемов работ, инженерно-геологические разрезы и колонки, сводные планы инженерных сетей – строго по требованиям российских ГОСТ</w:t>
      </w:r>
    </w:p>
    <w:p w14:paraId="2B932F85" w14:textId="484D269F" w:rsidR="00830F31" w:rsidRDefault="00830F31" w:rsidP="00830F31" vyd:_id="vyd:0000000000000h">
      <w:pPr>
        <w:spacing w:after="0" w:line="240" w:lineRule="auto"/>
        <w:rPr>
          <w:rFonts w:cstheme="minorHAnsi"/>
          <w:sz w:val="24"/>
          <w:b w:val="1"/>
        </w:rPr>
      </w:pPr>
    </w:p>
    <w:p w14:paraId="414BC97F" w14:textId="3652B516" w:rsidR="00830F31" w:rsidRDefault="00830F31" w:rsidP="00830F31" vyd:_id="vyd:0000000000000d">
      <w:pPr>
        <w:pStyle w:val="a3"/>
        <w:ind w:start="0"/>
        <w:rPr>
          <w:sz w:val="28"/>
          <w:color w:val="212529"/>
          <w:b w:val="1"/>
          <w:shd w:val="clear" w:color="auto" w:fill="FFFFFF"/>
        </w:rPr>
      </w:pPr>
      <w:r>
        <w:rPr>
          <w:sz w:val="28"/>
          <w:color w:val="212529"/>
          <w:b w:val="1"/>
          <w:shd w:val="clear" w:color="auto" w:fill="FFFFFF"/>
        </w:rPr>
        <w:t vyd:_id="vyd:0000000000000g" xml:space="preserve">nanoCAD комплект </w:t>
      </w:r>
      <w:r>
        <w:rPr>
          <w:sz w:val="28"/>
          <w:color w:val="212529"/>
          <w:b w:val="1"/>
          <w:shd w:val="clear" w:color="auto" w:fill="FFFFFF"/>
        </w:rPr>
        <w:t vyd:_id="vyd:0000000000000f">Землеустройство</w:t>
      </w:r>
      <w:r>
        <w:rPr>
          <w:sz w:val="28"/>
          <w:color w:val="212529"/>
          <w:b w:val="1"/>
          <w:shd w:val="clear" w:color="auto" w:fill="FFFFFF"/>
        </w:rPr>
        <w:t vyd:_id="vyd:0000000000000e" xml:space="preserve"> включает в себя следующие решения на базе Платформы nanoCAD</w:t>
      </w:r>
    </w:p>
    <w:p w14:paraId="137DE900" w14:textId="77777777" w:rsidR="00830F31" w:rsidRDefault="00830F31" w:rsidP="00830F31" vyd:_id="vyd:0000000000000a">
      <w:pPr>
        <w:spacing w:after="0"/>
        <w:rPr>
          <w:sz w:val="24"/>
          <w:szCs w:val="24"/>
        </w:rPr>
      </w:pPr>
      <w:r>
        <w:rPr>
          <w:sz w:val="24"/>
        </w:rPr>
        <w:t vyd:_id="vyd:0000000000000c" xml:space="preserve">Платформа nanoCAD (конфигурация </w:t>
      </w:r>
      <w:r>
        <w:rPr>
          <w:sz w:val="24"/>
          <w:szCs w:val="24"/>
        </w:rPr>
        <w:t vyd:_id="vyd:0000000000000b">Pro)</w:t>
      </w:r>
    </w:p>
    <w:p w14:paraId="60607300" w14:textId="06C296F4" w:rsidR="00830F31" w:rsidRPr="002F665D" w:rsidRDefault="00830F31" w:rsidP="00830F31" vyd:_id="vyd:00000000000007">
      <w:pPr>
        <w:spacing w:after="0"/>
        <w:rPr>
          <w:sz w:val="24"/>
          <w:szCs w:val="24"/>
        </w:rPr>
      </w:pPr>
      <w:r>
        <w:rPr>
          <w:sz w:val="24"/>
          <w:szCs w:val="24"/>
        </w:rPr>
        <w:t vyd:_id="vyd:00000000000009" xml:space="preserve">nanoCAD </w:t>
      </w:r>
      <w:r>
        <w:rPr>
          <w:sz w:val="24"/>
          <w:lang w:val="en-US"/>
          <w:szCs w:val="24"/>
        </w:rPr>
        <w:t vyd:_id="vyd:00000000000008">GeoniCS</w:t>
      </w:r>
    </w:p>
    <w:p w14:paraId="002264BA" w14:textId="41EF1237" w:rsidR="00830F31" w:rsidRPr="00FB5A6B" w:rsidRDefault="00830F31" w:rsidP="002F665D" vyd:_id="vyd:00000000000004">
      <w:pPr>
        <w:spacing w:after="0"/>
        <w:rPr>
          <w:sz w:val="24"/>
          <w:szCs w:val="24"/>
        </w:rPr>
      </w:pPr>
      <w:r>
        <w:rPr>
          <w:sz w:val="24"/>
        </w:rPr>
        <w:t vyd:_id="vyd:00000000000006" xml:space="preserve">nanoCAD </w:t>
      </w:r>
      <w:r>
        <w:rPr>
          <w:sz w:val="24"/>
        </w:rPr>
        <w:t vyd:_id="vyd:00000000000005">Землеустройство</w:t>
      </w:r>
    </w:p>
    <w:p w14:paraId="427ED31E" w14:textId="77777777" w:rsidR="00830F31" w:rsidRPr="00FB5A6B" w:rsidRDefault="00830F31" w:rsidP="00830F31" vyd:_id="vyd:00000000000003">
      <w:pPr>
        <w:pStyle w:val="a3"/>
        <w:ind w:start="0"/>
        <w:rPr>
          <w:sz w:val="28"/>
          <w:color w:val="212529"/>
          <w:b w:val="1"/>
          <w:shd w:val="clear" w:color="auto" w:fill="FFFFFF"/>
        </w:rPr>
      </w:pPr>
    </w:p>
    <w:sectPr vyd:_id="vyd:00000000000002" w:rsidR="00830F31" w:rsidRPr="00FB5A6B" w:rsidSect="00830F31">
      <w:type w:val="nextPage"/>
      <w:pgSz w:w="11906" w:h="16838" w:orient="portrait"/>
      <w:pgMar w:top="851" w:right="850" w:bottom="851" w:left="1701" w:header="0" w:footer="0" w:gutter="0"/>
      <w:cols w:equalWidth="1" w:space="720" w:sep="0"/>
      <w:vAlign w:val="top"/>
      <w:titlePg w:val="0"/>
      <w:docGrid w:linePitch="360"/>
    </w:sectPr>
  </w:body>
</w:document>
</file>

<file path=word/endnotes.xml><?xml version="1.0" encoding="utf-8"?>
<w:endnotes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mc:Ignorable="w14 w15 w16se w16cid w16 w16cex w16sdtdh unk1 unk2 wp14">
  <w:endnote w:type="separator" w:id="-1">
    <w:p w14:paraId="23B6F68D" w14:textId="77777777" w:rsidR="00DF299C" w:rsidRDefault="00DF299C">
      <w:pPr>
        <w:spacing w:after="0" w:line="240" w:lineRule="auto"/>
      </w:pPr>
      <w:r>
        <w:separator/>
      </w:r>
    </w:p>
  </w:endnote>
  <w:endnote w:type="continuationSeparator" w:id="0">
    <w:p w14:paraId="27CC650F" w14:textId="77777777" w:rsidR="00DF299C" w:rsidRDefault="00DF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mc:Ignorable="w14 w15 w16se w16cid w16 w16cex w16sdtdh unk1 unk2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missioner">
    <w:panose1 w:val="00000000000000000000"/>
    <w:charset w:val="CC"/>
    <w:family w:val="auto"/>
    <w:pitch w:val="variable"/>
    <w:sig w:usb0="A00002FF" w:usb1="4000204B" w:usb2="00000000" w:usb3="00000000" w:csb0="0000019F" w:csb1="00000000"/>
  </w:font>
</w:fonts>
</file>

<file path=word/footnotes.xml><?xml version="1.0" encoding="utf-8"?>
<w:footnotes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mc:Ignorable="w14 w15 w16se w16cid w16 w16cex w16sdtdh unk1 unk2 wp14">
  <w:footnote w:type="separator" w:id="-1">
    <w:p w14:paraId="10099270" w14:textId="77777777" w:rsidR="00DF299C" w:rsidRDefault="00DF299C">
      <w:pPr>
        <w:spacing w:after="0" w:line="240" w:lineRule="auto"/>
      </w:pPr>
      <w:r>
        <w:separator/>
      </w:r>
    </w:p>
  </w:footnote>
  <w:footnote w:type="continuationSeparator" w:id="0">
    <w:p w14:paraId="6A65179A" w14:textId="77777777" w:rsidR="00DF299C" w:rsidRDefault="00DF29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16cid="http://schemas.microsoft.com/office/word/2016/wordml/cid" xmlns:w="http://schemas.openxmlformats.org/wordprocessingml/2006/main" xmlns:w15="http://schemas.microsoft.com/office/word/2012/wordml">
  <w:abstractNum w15:restartNumberingAfterBreak="0" w:abstractNumId="0">
    <w:nsid w:val="03ED3CDF"/>
    <w:multiLevelType w:val="hybridMultilevel"/>
    <w:tmpl w:val="E3B8CF58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">
    <w:nsid w:val="157C6716"/>
    <w:multiLevelType w:val="hybridMultilevel"/>
    <w:tmpl w:val="F5600F78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">
    <w:nsid w:val="2CCE1579"/>
    <w:multiLevelType w:val="hybridMultilevel"/>
    <w:tmpl w:val="F724B6CE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16cid:durableId="2081439874" w:numId="1">
    <w:abstractNumId w:val="0"/>
  </w:num>
  <w:num w16cid:durableId="1083182467" w:numId="2">
    <w:abstractNumId w:val="1"/>
  </w:num>
  <w:num w16cid:durableId="783766100" w:numId="3">
    <w:abstractNumId w:val="2"/>
  </w:num>
</w:numbering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 xmlns:w15="http://schemas.microsoft.com/office/word/2012/wordml" xmlns:w14="http://schemas.microsoft.com/office/word/2010/wordml">
  <w14:docId w14:val="2A62D817"/>
  <w15:docId w15:val="{F131D0A3-3261-48DE-A81D-EADAC39B3E87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BD7"/>
    <w:rsid w:val="002C1E03"/>
    <w:rsid w:val="002F665D"/>
    <w:rsid w:val="006F40ED"/>
    <w:rsid w:val="00830F31"/>
    <w:rsid w:val="00896BD7"/>
    <w:rsid w:val="00987C39"/>
    <w:rsid w:val="009B326D"/>
    <w:rsid w:val="009B4391"/>
    <w:rsid w:val="00A4411C"/>
    <w:rsid w:val="00CB0DBE"/>
    <w:rsid w:val="00CE7237"/>
    <w:rsid w:val="00DF299C"/>
    <w:rsid w:val="00E06A6E"/>
    <w:rsid w:val="00E62142"/>
    <w:rsid w:val="00FB5A6B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  <w14:ligatures w14:val="standardContextual"/>
      </w:rPr>
    </w:rPrDefault>
    <w:pPrDefault>
      <w:pPr>
        <w:spacing w:after="160" w:line="278" w:lineRule="auto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7F7F7F" w:themeColor="tex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single" w:color="7F7F7F" w:themeColor="tex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7F7F7F" w:themeColor="tex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single" w:color="7F7F7F" w:themeColor="tex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240" w:after="0"/>
      <w:outlineLvl w:val="0"/>
    </w:pPr>
    <w:rPr>
      <w:rFonts w:asciiTheme="majorHAnsi" w:hAnsiTheme="majorHAnsi" w:eastAsiaTheme="majorEastAsia" w:cstheme="majorBidi"/>
      <w:sz w:val="32"/>
      <w:color w:val="2F5496" w:themeColor="accent1" w:themeShade="BF"/>
      <w:szCs w:val="32"/>
    </w:rPr>
  </w:style>
  <w:style w:type="character" w:styleId="10" w:customStyle="1">
    <w:name w:val="Заголовок 1 Знак"/>
    <w:basedOn w:val="a0"/>
    <w:link w:val="1"/>
    <w:uiPriority w:val="9"/>
    <w:qFormat w:val="1"/>
    <w:rPr>
      <w:rFonts w:asciiTheme="majorHAnsi" w:hAnsiTheme="majorHAnsi" w:eastAsiaTheme="majorEastAsia" w:cstheme="majorBidi"/>
      <w:sz w:val="32"/>
      <w:color w:val="2F5496" w:themeColor="accent1" w:themeShade="BF"/>
      <w:szCs w:val="32"/>
    </w:rPr>
  </w:style>
  <w:style w:type="table" w:styleId="1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40" w:after="0"/>
      <w:outlineLvl w:val="1"/>
    </w:pPr>
    <w:rPr>
      <w:rFonts w:asciiTheme="majorHAnsi" w:hAnsiTheme="majorHAnsi" w:eastAsiaTheme="majorEastAsia" w:cstheme="majorBidi"/>
      <w:sz w:val="26"/>
      <w:color w:val="2F5496" w:themeColor="accent1" w:themeShade="BF"/>
      <w:szCs w:val="26"/>
    </w:rPr>
  </w:style>
  <w:style w:type="character" w:styleId="20" w:customStyle="1">
    <w:name w:val="Заголовок 2 Знак"/>
    <w:basedOn w:val="a0"/>
    <w:link w:val="2"/>
    <w:uiPriority w:val="9"/>
    <w:qFormat w:val="1"/>
    <w:rPr>
      <w:rFonts w:asciiTheme="majorHAnsi" w:hAnsiTheme="majorHAnsi" w:eastAsiaTheme="majorEastAsia" w:cstheme="majorBidi"/>
      <w:sz w:val="26"/>
      <w:color w:val="2F5496" w:themeColor="accent1" w:themeShade="BF"/>
      <w:szCs w:val="26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link w:val="30"/>
    <w:uiPriority w:val="9"/>
    <w:qFormat w:val="1"/>
    <w:pPr>
      <w:spacing w:beforeAutospacing="1" w:afterAutospacing="1" w:line="240" w:lineRule="auto"/>
      <w:outlineLvl w:val="2"/>
    </w:pPr>
    <w:rPr>
      <w:rFonts w:ascii="Times New Roman" w:hAnsi="Times New Roman" w:eastAsia="Times New Roman" w:cs="Times New Roman"/>
      <w:sz w:val="27"/>
      <w:b w:val="1"/>
      <w:bCs w:val="1"/>
      <w:szCs w:val="27"/>
      <w14:ligatures w14:val="none"/>
    </w:rPr>
  </w:style>
  <w:style w:type="character" w:styleId="30" w:customStyle="1">
    <w:name w:val="Заголовок 3 Знак"/>
    <w:basedOn w:val="a0"/>
    <w:link w:val="3"/>
    <w:uiPriority w:val="9"/>
    <w:qFormat w:val="1"/>
    <w:rPr>
      <w:rFonts w:ascii="Times New Roman" w:hAnsi="Times New Roman" w:eastAsia="Times New Roman" w:cs="Times New Roman"/>
      <w:sz w:val="27"/>
      <w:b w:val="1"/>
      <w:bCs w:val="1"/>
      <w:szCs w:val="27"/>
      <w14:ligatures w14:val="none"/>
    </w:r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4472C4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4472C4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ampLined-Accent1" w:customStyle="1">
    <w:name w:val="Bordered &amp;amp;Lined - Accent 1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BorderedampLined-Accent2" w:customStyle="1">
    <w:name w:val="Bordered &amp;amp;Lined - Accent 2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ampLined-Accent3" w:customStyle="1">
    <w:name w:val="Bordered &amp;amp;Lined - Accent 3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ampLined-Accent4" w:customStyle="1">
    <w:name w:val="Bordered &amp;amp;Lined - Accent 4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ampLined-Accent5" w:customStyle="1">
    <w:name w:val="Bordered &amp;amp;Lined - Accent 5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BorderedampLined-Accent6" w:customStyle="1">
    <w:name w:val="Bordered &amp;amp;Lined - Accent 6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paragraph" w:styleId="Comment" w:customStyle="1">
    <w:name w:val="Comment"/>
    <w:basedOn w:val="a"/>
    <w:qFormat w:val="1"/>
    <w:rPr>
      <w:sz w:val="20"/>
      <w:szCs w:val="20"/>
    </w:rPr>
  </w:style>
  <w:style w:type="character" w:styleId="FooterChar" w:customStyle="1">
    <w:name w:val="Footer Char"/>
    <w:basedOn w:val="a0"/>
    <w:uiPriority w:val="99"/>
  </w:style>
  <w:style w:type="table" w:styleId="GridTable1Light-Accent1" w:customStyle="1">
    <w:name w:val="Grid Table 1 Light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37DC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37DC8" w:themeColor="accent1" w:themeTint="EA" w:sz="4" w:space="0"/>
          <w:start w:val="single" w:color="537DC8" w:themeColor="accent1" w:themeTint="EA" w:sz="4" w:space="0"/>
          <w:bottom w:val="single" w:color="537DC8" w:themeColor="accent1" w:themeTint="EA" w:sz="4" w:space="0"/>
          <w:end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B9BD5" w:themeColor="accent5" w:sz="4" w:space="0"/>
          <w:start w:val="single" w:color="5B9BD5" w:themeColor="accent5" w:sz="4" w:space="0"/>
          <w:bottom w:val="single" w:color="5B9BD5" w:themeColor="accent5" w:sz="4" w:space="0"/>
          <w:end w:val="single" w:color="5B9BD5" w:themeColor="accent5" w:sz="4" w:space="0"/>
        </w:tcBorders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blPr/>
      <w:tcPr>
        <w:shd w:val="clear" w:color="A9BEE4" w:themeColor="accent1" w:themeTint="75" w:fill="A9BEE4" w:themeFill="accent1" w:themeFillTint="75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styleId="GridTable5Dark-Accent2" w:customStyle="1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blPr/>
      <w:tcPr>
        <w:shd w:val="clear" w:color="B3D0EB" w:themeColor="accent5" w:themeTint="75" w:fill="B3D0EB" w:themeFill="accent5" w:themeFillTint="7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</w:style>
  <w:style w:type="table" w:styleId="GridTable5Dark-Accent6" w:customStyle="1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rPr>
        <w:color w:val="A0B7E1" w:themeColor="accent1" w:themeTint="80" w:themeShade="95"/>
        <w:b w:val="1"/>
      </w:rPr>
    </w:tblStylePr>
    <w:tblStylePr w:type="firstRow">
      <w:rPr>
        <w:color w:val="A0B7E1" w:themeColor="accent1" w:themeTint="80" w:themeShade="95"/>
        <w:b w:val="1"/>
      </w:rPr>
      <w:tblPr/>
      <w:tcPr>
        <w:tcBorders>
          <w:bottom w:val="single" w:color="A0B7E1" w:themeColor="accent1" w:themeTint="80" w:sz="12" w:space="0"/>
        </w:tcBorders>
      </w:tcPr>
    </w:tblStylePr>
    <w:tblStylePr w:type="lastCol">
      <w:rPr>
        <w:color w:val="A0B7E1" w:themeColor="accent1" w:themeTint="80" w:themeShade="95"/>
        <w:b w:val="1"/>
      </w:rPr>
    </w:tblStylePr>
    <w:tblStylePr w:type="lastRow">
      <w:rPr>
        <w:color w:val="A0B7E1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0B7E1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0B7E1" w:themeColor="accen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auto" w:sz="0" w:space="0"/>
          <w:start w:val="single" w:color="A0B7E1" w:themeColor="accen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single" w:color="A0B7E1" w:themeColor="accen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F4B184" w:themeColor="accent2" w:themeTint="97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single" w:color="F4B184" w:themeColor="accent2" w:themeTint="97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5A5A5" w:themeColor="accent3" w:themeTint="FE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auto" w:sz="0" w:space="0"/>
          <w:start w:val="single" w:color="A5A5A5" w:themeColor="accent3" w:themeTint="FE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FFD865" w:themeColor="accent4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single" w:color="FFD865" w:themeColor="accent4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2C6E7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2C6E7" w:themeColor="accent5" w:themeTint="9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auto" w:sz="0" w:space="0"/>
          <w:start w:val="single" w:color="A2C6E7" w:themeColor="accent5" w:themeTint="9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single" w:color="A2C6E7" w:themeColor="accent5" w:themeTint="9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DD394" w:themeColor="accent6" w:themeTint="9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auto" w:sz="0" w:space="0"/>
          <w:start w:val="single" w:color="ADD394" w:themeColor="accent6" w:themeTint="9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table" w:styleId="Lined-Accent" w:customStyle="1">
    <w:name w:val="Lined - Accent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Lined-Accent2" w:customStyle="1">
    <w:name w:val="Lined - Accent 2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Lined-Accent6" w:customStyle="1">
    <w:name w:val="Lined - Accent 6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4472C4" w:themeColor="accent1" w:sz="4" w:space="0"/>
          <w:end w:val="single" w:color="4472C4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4" w:space="0"/>
          <w:end w:val="single" w:color="9BC2E5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C2E5" w:themeColor="accent5" w:themeTint="9A" w:fill="9BC2E5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4472C4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4472C4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9BC2E5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9BC2E5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rPr>
        <w:color w:val="254175" w:themeColor="accent1" w:themeShade="95"/>
        <w:b w:val="1"/>
      </w:rPr>
    </w:tblStylePr>
    <w:tblStylePr w:type="firstRow">
      <w:rPr>
        <w:color w:val="254175" w:themeColor="accent1" w:themeShade="95"/>
        <w:b w:val="1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color w:val="254175" w:themeColor="accent1" w:themeShade="95"/>
        <w:b w:val="1"/>
      </w:rPr>
    </w:tblStylePr>
    <w:tblStylePr w:type="lastRow">
      <w:rPr>
        <w:color w:val="254175" w:themeColor="accent1" w:themeShade="95"/>
        <w:b w:val="1"/>
      </w:rPr>
      <w:tblPr/>
      <w:tcPr>
        <w:tcBorders>
          <w:top w:val="single" w:color="4472C4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rPr>
        <w:color w:val="9BC2E5" w:themeColor="accent5" w:themeTint="9A" w:themeShade="95"/>
        <w:b w:val="1"/>
      </w:rPr>
    </w:tblStylePr>
    <w:tblStylePr w:type="firstRow">
      <w:rPr>
        <w:color w:val="9BC2E5" w:themeColor="accent5" w:themeTint="9A" w:themeShade="95"/>
        <w:b w:val="1"/>
      </w:rPr>
      <w:tblPr/>
      <w:tcPr>
        <w:tcBorders>
          <w:bottom w:val="single" w:color="9BC2E5" w:themeColor="accent5" w:themeTint="9A" w:sz="4" w:space="0"/>
        </w:tcBorders>
      </w:tcPr>
    </w:tblStylePr>
    <w:tblStylePr w:type="lastCol">
      <w:rPr>
        <w:color w:val="9BC2E5" w:themeColor="accent5" w:themeTint="9A" w:themeShade="95"/>
        <w:b w:val="1"/>
      </w:rPr>
    </w:tblStylePr>
    <w:tblStylePr w:type="lastRow">
      <w:rPr>
        <w:color w:val="9BC2E5" w:themeColor="accent5" w:themeTint="9A" w:themeShade="95"/>
        <w:b w:val="1"/>
      </w:rPr>
      <w:tblPr/>
      <w:tcPr>
        <w:tcBorders>
          <w:top w:val="single" w:color="9BC2E5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4472C4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4472C4" w:themeColor="accent1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auto" w:sz="0" w:space="0"/>
          <w:start w:val="single" w:color="4472C4" w:themeColor="accent1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single" w:color="4472C4" w:themeColor="accent1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F4B184" w:themeColor="accent2" w:themeTint="97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single" w:color="F4B184" w:themeColor="accent2" w:themeTint="97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C9C9C9" w:themeColor="accent3" w:themeTint="98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single" w:color="C9C9C9" w:themeColor="accent3" w:themeTint="98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FFD865" w:themeColor="accent4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single" w:color="FFD865" w:themeColor="accent4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9BC2E5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9BC2E5" w:themeColor="accent5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auto" w:sz="0" w:space="0"/>
          <w:start w:val="single" w:color="9BC2E5" w:themeColor="accent5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single" w:color="9BC2E5" w:themeColor="accent5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A9D08E" w:themeColor="accent6" w:themeTint="98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single" w:color="A9D08E" w:themeColor="accent6" w:themeTint="98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TableGridLight" w:customStyle="1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paragraph" w:styleId="a" w:default="1">
    <w:name w:val="Normal"/>
    <w:qFormat w:val="1"/>
    <w:pPr>
      <w:spacing w:line="259" w:lineRule="auto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pPr>
      <w:ind w:start="720"/>
      <w:contextualSpacing w:val="1"/>
    </w:pPr>
  </w:style>
  <w:style w:type="character" w:styleId="a4" w:customStyle="1">
    <w:name w:val="Заголовок Знак"/>
    <w:basedOn w:val="a0"/>
    <w:link w:val="a5"/>
    <w:uiPriority w:val="10"/>
    <w:rPr>
      <w:sz w:val="48"/>
      <w:szCs w:val="48"/>
    </w:rPr>
  </w:style>
  <w:style w:type="paragraph" w:styleId="a5">
    <w:name w:val="Title"/>
    <w:basedOn w:val="a"/>
    <w:next w:val="a6"/>
    <w:link w:val="a4"/>
    <w:qFormat w:val="1"/>
    <w:pPr>
      <w:keepNext w:val="1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Subtitle"/>
    <w:basedOn w:val="a"/>
    <w:next w:val="a"/>
    <w:link w:val="a8"/>
    <w:uiPriority w:val="11"/>
    <w:qFormat w:val="1"/>
    <w:pPr>
      <w:spacing w:before="200" w:after="200"/>
    </w:pPr>
    <w:rPr>
      <w:sz w:val="24"/>
      <w:szCs w:val="24"/>
    </w:rPr>
  </w:style>
  <w:style w:type="character" w:styleId="a8" w:customStyle="1">
    <w:name w:val="Подзаголовок Знак"/>
    <w:basedOn w:val="a0"/>
    <w:link w:val="a7"/>
    <w:uiPriority w:val="11"/>
    <w:rPr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a" w:customStyle="1">
    <w:name w:val="Выделенная цитата Знак"/>
    <w:link w:val="a9"/>
    <w:uiPriority w:val="30"/>
    <w:rPr>
      <w:i w:val="1"/>
    </w:rPr>
  </w:style>
  <w:style w:type="paragraph" w:styleId="ab">
    <w:name w:val="header"/>
    <w:basedOn w:val="a"/>
    <w:link w:val="ac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c" w:customStyle="1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e" w:customStyle="1">
    <w:name w:val="Нижний колонтитул Знак"/>
    <w:link w:val="ad"/>
    <w:uiPriority w:val="99"/>
  </w:style>
  <w:style w:type="paragraph" w:styleId="af">
    <w:name w:val="footnote text"/>
    <w:basedOn w:val="a"/>
    <w:link w:val="af0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0" w:customStyle="1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 w:val="1"/>
    <w:rPr>
      <w:vertAlign w:val="superscript"/>
    </w:rPr>
  </w:style>
  <w:style w:type="paragraph" w:styleId="af2">
    <w:name w:val="endnote text"/>
    <w:basedOn w:val="a"/>
    <w:link w:val="af3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3" w:customStyle="1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5">
    <w:name w:val="TOC Heading"/>
    <w:uiPriority w:val="39"/>
    <w:unhideWhenUsed w:val="1"/>
  </w:style>
  <w:style w:type="paragraph" w:styleId="af6">
    <w:name w:val="table of figures"/>
    <w:basedOn w:val="a"/>
    <w:next w:val="a"/>
    <w:uiPriority w:val="99"/>
    <w:unhideWhenUsed w:val="1"/>
    <w:pPr>
      <w:spacing w:after="0"/>
    </w:pPr>
  </w:style>
  <w:style w:type="character" w:styleId="af7">
    <w:name w:val="annotation reference"/>
    <w:basedOn w:val="a0"/>
    <w:uiPriority w:val="99"/>
    <w:semiHidden w:val="1"/>
    <w:unhideWhenUsed w:val="1"/>
    <w:qFormat w:val="1"/>
    <w:rPr>
      <w:sz w:val="16"/>
      <w:szCs w:val="16"/>
    </w:rPr>
  </w:style>
  <w:style w:type="character" w:styleId="af8" w:customStyle="1">
    <w:name w:val="Текст примечания Знак"/>
    <w:basedOn w:val="a0"/>
    <w:link w:val="af9"/>
    <w:uiPriority w:val="99"/>
    <w:qFormat w:val="1"/>
    <w:rPr>
      <w:sz w:val="20"/>
      <w:szCs w:val="20"/>
    </w:rPr>
  </w:style>
  <w:style w:type="paragraph" w:styleId="af9">
    <w:name w:val="annotation text"/>
    <w:basedOn w:val="a"/>
    <w:link w:val="af8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character" w:styleId="afa" w:customStyle="1">
    <w:name w:val="Тема примечания Знак"/>
    <w:basedOn w:val="af8"/>
    <w:link w:val="afb"/>
    <w:uiPriority w:val="99"/>
    <w:semiHidden w:val="1"/>
    <w:qFormat w:val="1"/>
    <w:rPr>
      <w:sz w:val="20"/>
      <w:b w:val="1"/>
      <w:bCs w:val="1"/>
      <w:szCs w:val="20"/>
    </w:rPr>
  </w:style>
  <w:style w:type="paragraph" w:styleId="afb">
    <w:name w:val="annotation subject"/>
    <w:basedOn w:val="af9"/>
    <w:next w:val="af9"/>
    <w:link w:val="afa"/>
    <w:uiPriority w:val="99"/>
    <w:semiHidden w:val="1"/>
    <w:unhideWhenUsed w:val="1"/>
    <w:qFormat w:val="1"/>
    <w:rPr>
      <w:b w:val="1"/>
      <w:bCs w:val="1"/>
    </w:rPr>
  </w:style>
  <w:style w:type="character" w:styleId="afc">
    <w:name w:val="Hyperlink"/>
    <w:basedOn w:val="a0"/>
    <w:uiPriority w:val="99"/>
    <w:unhideWhenUsed w:val="1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 w:val="1"/>
    <w:unhideWhenUsed w:val="1"/>
    <w:qFormat w:val="1"/>
    <w:rPr>
      <w:color w:val="605E5C"/>
      <w:shd w:val="clear" w:color="auto" w:fill="E1DFDD"/>
    </w:rPr>
  </w:style>
  <w:style w:type="character" w:styleId="afe">
    <w:name w:val="FollowedHyperlink"/>
    <w:basedOn w:val="a0"/>
    <w:uiPriority w:val="99"/>
    <w:semiHidden w:val="1"/>
    <w:unhideWhenUsed w:val="1"/>
    <w:rPr>
      <w:color w:val="954F72" w:themeColor="followedHyperlink"/>
      <w:u w:val="single"/>
    </w:rPr>
  </w:style>
  <w:style w:type="paragraph" w:styleId="aff">
    <w:name w:val="List"/>
    <w:basedOn w:val="a6"/>
    <w:rPr>
      <w:rFonts w:cs="Arial"/>
    </w:rPr>
  </w:style>
  <w:style w:type="paragraph" w:styleId="aff0">
    <w:name w:val="caption"/>
    <w:basedOn w:val="a"/>
    <w:qFormat w:val="1"/>
    <w:pPr>
      <w:suppressLineNumbers w:val="1"/>
      <w:spacing w:before="120" w:after="120"/>
    </w:pPr>
    <w:rPr>
      <w:rFonts w:cs="Arial"/>
      <w:sz w:val="24"/>
      <w:i w:val="1"/>
      <w:iCs w:val="1"/>
      <w:szCs w:val="24"/>
    </w:rPr>
  </w:style>
  <w:style w:type="paragraph" w:styleId="aff1">
    <w:name w:val="index heading"/>
    <w:basedOn w:val="a"/>
    <w:qFormat w:val="1"/>
    <w:pPr>
      <w:suppressLineNumbers w:val="1"/>
    </w:pPr>
    <w:rPr>
      <w:rFonts w:cs="Arial"/>
    </w:rPr>
  </w:style>
  <w:style w:type="paragraph" w:styleId="aff2">
    <w:name w:val="Normal (Web)"/>
    <w:basedOn w:val="a"/>
    <w:uiPriority w:val="99"/>
    <w:semiHidden w:val="1"/>
    <w:unhideWhenUsed w:val="1"/>
    <w:qFormat w:val="1"/>
    <w:rPr>
      <w:rFonts w:ascii="Times New Roman" w:hAnsi="Times New Roman" w:cs="Times New Roman"/>
      <w:sz w:val="24"/>
      <w:szCs w:val="24"/>
    </w:rPr>
  </w:style>
  <w:style w:type="paragraph" w:styleId="aff3">
    <w:name w:val="No Spacing"/>
    <w:uiPriority w:val="1"/>
    <w:qFormat w:val="1"/>
    <w:rPr>
      <w:rFonts w:ascii="Calibri" w:hAnsi="Calibri" w:eastAsia="Calibri"/>
      <w14:ligatures w14:val="none"/>
    </w:rPr>
  </w:style>
  <w:style w:type="paragraph" w:styleId="aff4" w:customStyle="1">
    <w:name w:val="Содержимое таблицы"/>
    <w:basedOn w:val="a"/>
    <w:qFormat w:val="1"/>
    <w:pPr>
      <w:widowControl w:val="0"/>
      <w:suppressLineNumbers w:val="1"/>
    </w:pPr>
  </w:style>
  <w:style w:type="paragraph" w:styleId="aff5" w:customStyle="1">
    <w:name w:val="Заголовок таблицы"/>
    <w:basedOn w:val="aff4"/>
    <w:qFormat w:val="1"/>
    <w:pPr>
      <w:jc w:val="center"/>
    </w:pPr>
    <w:rPr>
      <w:b w:val="1"/>
      <w:bCs w:val="1"/>
    </w:rPr>
  </w:style>
  <w:style w:type="table" w:styleId="aff6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f7">
    <w:name w:val="Revision"/>
    <w:hidden w:val="1"/>
    <w:uiPriority w:val="99"/>
    <w:semiHidden w:val="1"/>
  </w:style>
</w:styles>
</file>

<file path=word/webSettings.xml><?xml version="1.0" encoding="utf-8"?>
<w:webSettings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mc:Ignorable="w14 w15 w16se w16cid w16 w16cex w16sdtdh unk1 unk2"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4A3A55CF-4765-4398-A9FE-429940826401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Normal.dotm</ep:Template>
  <ep:TotalTime>199</ep:TotalTime>
  <ep:Pages>2</ep:Pages>
  <ep:Words>402</ep:Words>
  <ep:Characters>2294</ep:Characters>
  <ep:Application>Microsoft Office Word</ep:Application>
  <ep:DocSecurity>0</ep:DocSecurity>
  <ep:Lines>19</ep:Lines>
  <ep:Paragraphs>5</ep:Paragraphs>
  <ep:ScaleCrop>false</ep:ScaleCrop>
  <ep:Company/>
  <ep:LinksUpToDate>false</ep:LinksUpToDate>
  <ep:CharactersWithSpaces>2691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Зонова Татьяна</dc:creator>
  <dc:description/>
  <cp:lastModifiedBy>Кирилл Кондратенков</cp:lastModifiedBy>
  <cp:revision>8</cp:revision>
  <dcterms:created xsi:type="dcterms:W3CDTF">2026-04-07T07:55:00Z</dcterms:created>
  <dcterms:modified xsi:type="dcterms:W3CDTF">2026-04-07T11:32:00Z</dcterms:modified>
  <dc:language>ru-RU</dc:language>
</cp:coreProperties>
</file>